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</w:t>
      </w:r>
      <w:r>
        <w:rPr>
          <w:rFonts w:ascii="Segoe UI" w:hAnsi="Segoe UI" w:cs="Segoe UI"/>
          <w:b/>
          <w:sz w:val="24"/>
          <w:szCs w:val="24"/>
          <w:lang w:val="en-US"/>
        </w:rPr>
        <w:t>3</w:t>
      </w:r>
      <w:r>
        <w:rPr>
          <w:rFonts w:ascii="Segoe UI" w:hAnsi="Segoe UI" w:cs="Segoe UI"/>
          <w:b/>
          <w:sz w:val="24"/>
          <w:szCs w:val="24"/>
        </w:rPr>
        <w:t xml:space="preserve"> июня 2021</w:t>
      </w:r>
    </w:p>
    <w:p>
      <w:pPr>
        <w:spacing w:after="0" w:line="36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Готовьте документы для оформления гаража по «гаражной амнистии» </w:t>
      </w:r>
    </w:p>
    <w:p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22 июня на рабочем совещании в Самарской Губернской Думе юристы продолжили работать над проектом областного закона, направленного на реализацию «гаражной амнистии». Было решено взять за основу список документов и мероприятия, которые предложил Росреестр. </w:t>
      </w:r>
    </w:p>
    <w:p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Представители комитета по сельскому хозяйству и продовольствию Самарской Губернской Думы, областного правительства, прокуратуры, Управления Росреестра по Самарской области и Ассоциации «Совет муниципальных образований Самарской области» разрабатывали механизм применения отдельных положений закона. </w:t>
      </w:r>
    </w:p>
    <w:p>
      <w:pPr>
        <w:spacing w:after="0" w:line="36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Закон о «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гаражной амнистии» предоставил право регионам своим законом предусмотреть дополнительный перечень документов, которыми гражданин сможет подтвердить право владения гаражом. </w:t>
      </w:r>
      <w:proofErr w:type="gramStart"/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Анализируя предложения муниципальных образований о таких документах, пришли к выводу, что федеральным законом установлен достаточно широкий перечень документов, и на сегодня дополнять его региональным списком не требуется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- говорит заместитель начальника отдела правового обеспечения Управления Росреестра по Самарской области </w:t>
      </w: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Константин Минин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</w:t>
      </w:r>
    </w:p>
    <w:p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Это означает, что владельцам гаражей уже сейчас стоит проверить наличие документов, перечисленных в федеральном законе. Напомним, что перечень можно посмотреть в методических рекомендациях Росреестра, они размещены на сайте (о</w:t>
      </w:r>
      <w:r>
        <w:rPr>
          <w:rFonts w:ascii="Segoe UI" w:hAnsi="Segoe UI" w:cs="Segoe UI"/>
          <w:sz w:val="24"/>
          <w:szCs w:val="24"/>
        </w:rPr>
        <w:t xml:space="preserve">знакомиться с методичкой можно </w:t>
      </w:r>
      <w:hyperlink r:id="rId6" w:history="1">
        <w:r>
          <w:rPr>
            <w:rStyle w:val="Hyperlink"/>
            <w:rFonts w:ascii="Segoe UI" w:hAnsi="Segoe UI" w:cs="Segoe UI"/>
            <w:sz w:val="24"/>
            <w:szCs w:val="24"/>
          </w:rPr>
          <w:t>здесь</w:t>
        </w:r>
      </w:hyperlink>
      <w:r>
        <w:rPr>
          <w:rStyle w:val="Hyperlink"/>
          <w:rFonts w:ascii="Segoe UI" w:hAnsi="Segoe UI" w:cs="Segoe UI"/>
          <w:sz w:val="24"/>
          <w:szCs w:val="24"/>
        </w:rPr>
        <w:t>)</w:t>
      </w:r>
      <w:r>
        <w:rPr>
          <w:rFonts w:ascii="Segoe UI" w:hAnsi="Segoe UI" w:cs="Segoe UI"/>
          <w:sz w:val="24"/>
          <w:szCs w:val="24"/>
        </w:rPr>
        <w:t>.</w:t>
      </w:r>
    </w:p>
    <w:p>
      <w:pPr>
        <w:spacing w:after="0" w:line="36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Стоит помнить, что закон вступает в силу 1 сентября 2021 года, на самовольные постройки он не распространяется. </w:t>
      </w:r>
    </w:p>
    <w:p>
      <w:pPr>
        <w:spacing w:after="0" w:line="36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В числе утвержденных юристами мероприяти</w:t>
      </w:r>
      <w:bookmarkStart w:id="0" w:name="_GoBack"/>
      <w:bookmarkEnd w:id="0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й (которые прописаны в методических рекомендациях Росреестра и взяты за основу в проект областного закона) – это организация и проведение встреч с представителями гаражно-строительных кооперативов, консультаций для граждан по вопросам применения закона, оказание помощи в подготовке документов и взаимодействие муниципалитетов с Росреестром. </w:t>
      </w:r>
    </w:p>
    <w:p>
      <w:pPr>
        <w:spacing w:after="0" w:line="360" w:lineRule="auto"/>
        <w:jc w:val="both"/>
        <w:rPr>
          <w:rFonts w:ascii="Segoe UI" w:hAnsi="Segoe UI" w:cs="Segoe UI"/>
          <w:b/>
          <w:sz w:val="24"/>
          <w:szCs w:val="24"/>
        </w:rPr>
      </w:pPr>
      <w:proofErr w:type="spellStart"/>
      <w:r>
        <w:rPr>
          <w:rFonts w:ascii="Segoe UI" w:hAnsi="Segoe UI" w:cs="Segoe UI"/>
          <w:b/>
          <w:sz w:val="24"/>
          <w:szCs w:val="24"/>
        </w:rPr>
        <w:t>Справочно</w:t>
      </w:r>
      <w:proofErr w:type="spellEnd"/>
      <w:r>
        <w:rPr>
          <w:rFonts w:ascii="Segoe UI" w:hAnsi="Segoe UI" w:cs="Segoe UI"/>
          <w:b/>
          <w:sz w:val="24"/>
          <w:szCs w:val="24"/>
        </w:rPr>
        <w:t>:</w:t>
      </w:r>
    </w:p>
    <w:p>
      <w:pPr>
        <w:spacing w:after="0" w:line="360" w:lineRule="auto"/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t>По гаражной амнистии можно будет оформить гараж:</w:t>
      </w:r>
    </w:p>
    <w:p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одноэтажный, имеющий фундамент и стены, без жилых помещений внутри, </w:t>
      </w:r>
    </w:p>
    <w:p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построен до декабря 2004 года (то есть до введения в действие Градостроительного кодекса РФ),</w:t>
      </w:r>
    </w:p>
    <w:p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расположен на земельном участке, который находятся в государственной или муниципальной собственности, </w:t>
      </w:r>
    </w:p>
    <w:p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«сваренные» гаражи – металлические, имеющие общую стену и коммуникации,</w:t>
      </w:r>
    </w:p>
    <w:p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используется в личных целях.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t>По «гаражной амнистии» нельзя оформить гараж: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некапитальный гараж, «ракушка», 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 построен на земельном участке, где имеется основной объект недвижимости (когда на земельном участке построен дом, и здесь же находится гараж как вспомогательный объект, он оформляется в ином порядке), 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гараж, который используется для предпринимательской деятельности,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гараж, находящийся в составе многоквартирных домов или офисных зданий,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proofErr w:type="spellStart"/>
      <w:r>
        <w:rPr>
          <w:rFonts w:ascii="Segoe UI" w:hAnsi="Segoe UI" w:cs="Segoe UI"/>
          <w:sz w:val="24"/>
          <w:szCs w:val="24"/>
        </w:rPr>
        <w:t>машино</w:t>
      </w:r>
      <w:proofErr w:type="spellEnd"/>
      <w:r>
        <w:rPr>
          <w:rFonts w:ascii="Segoe UI" w:hAnsi="Segoe UI" w:cs="Segoe UI"/>
          <w:sz w:val="24"/>
          <w:szCs w:val="24"/>
        </w:rPr>
        <w:t>-место,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гараж, построенный в порядке договора долевого участия в строительстве. </w:t>
      </w:r>
    </w:p>
    <w:p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7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>
      <w:pPr>
        <w:spacing w:after="0" w:line="240" w:lineRule="auto"/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8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/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1886A-A8A9-44D4-B93A-39AF6301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lganikitina_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.samar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2425E-469D-49FC-9EB7-2822828A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29</cp:revision>
  <cp:lastPrinted>2021-06-23T08:11:00Z</cp:lastPrinted>
  <dcterms:created xsi:type="dcterms:W3CDTF">2021-06-22T12:31:00Z</dcterms:created>
  <dcterms:modified xsi:type="dcterms:W3CDTF">2021-06-23T08:45:00Z</dcterms:modified>
</cp:coreProperties>
</file>